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lang w:val="en-US" w:eastAsia="zh-CN"/>
        </w:rPr>
        <w:t>8</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R2-220</w:t>
      </w:r>
      <w:r>
        <w:rPr>
          <w:rFonts w:hint="eastAsia" w:ascii="Arial" w:hAnsi="Arial" w:cs="Arial"/>
          <w:b/>
          <w:bCs/>
          <w:snapToGrid w:val="0"/>
          <w:kern w:val="0"/>
          <w:sz w:val="24"/>
          <w:lang w:val="en-US" w:eastAsia="zh-CN"/>
        </w:rPr>
        <w:t>5412</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09</w:t>
      </w:r>
      <w:r>
        <w:rPr>
          <w:rFonts w:hint="eastAsia" w:ascii="Arial" w:hAnsi="Arial" w:cs="Arial"/>
          <w:b/>
          <w:bCs/>
          <w:kern w:val="0"/>
          <w:sz w:val="24"/>
          <w:vertAlign w:val="superscript"/>
          <w:lang w:val="en-US" w:eastAsia="zh-CN"/>
        </w:rPr>
        <w:t>th</w:t>
      </w:r>
      <w:r>
        <w:rPr>
          <w:rFonts w:hint="eastAsia" w:ascii="Arial" w:hAnsi="Arial" w:cs="Arial"/>
          <w:b/>
          <w:bCs/>
          <w:kern w:val="0"/>
          <w:sz w:val="24"/>
        </w:rPr>
        <w:t xml:space="preserve"> </w:t>
      </w:r>
      <w:r>
        <w:rPr>
          <w:rFonts w:hint="eastAsia" w:ascii="Arial" w:hAnsi="Arial" w:cs="Arial"/>
          <w:b/>
          <w:bCs/>
          <w:kern w:val="0"/>
          <w:sz w:val="24"/>
          <w:lang w:val="en-US" w:eastAsia="zh-CN"/>
        </w:rPr>
        <w:t>May</w:t>
      </w:r>
      <w:r>
        <w:rPr>
          <w:rFonts w:hint="eastAsia" w:ascii="Arial" w:hAnsi="Arial" w:cs="Arial"/>
          <w:b/>
          <w:bCs/>
          <w:kern w:val="0"/>
          <w:sz w:val="24"/>
        </w:rPr>
        <w:t xml:space="preserve"> - </w:t>
      </w:r>
      <w:r>
        <w:rPr>
          <w:rFonts w:hint="eastAsia" w:ascii="Arial" w:hAnsi="Arial" w:cs="Arial"/>
          <w:b/>
          <w:bCs/>
          <w:kern w:val="0"/>
          <w:sz w:val="24"/>
          <w:lang w:val="en-US" w:eastAsia="zh-CN"/>
        </w:rPr>
        <w:t>20</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ascii="Arial" w:hAnsi="Arial" w:cs="Arial"/>
          <w:b/>
          <w:bCs/>
          <w:kern w:val="0"/>
          <w:sz w:val="24"/>
        </w:rPr>
        <w:t>Ma</w:t>
      </w:r>
      <w:r>
        <w:rPr>
          <w:rFonts w:hint="eastAsia" w:ascii="Arial" w:hAnsi="Arial" w:cs="Arial"/>
          <w:b/>
          <w:bCs/>
          <w:kern w:val="0"/>
          <w:sz w:val="24"/>
          <w:lang w:val="en-US" w:eastAsia="zh-CN"/>
        </w:rPr>
        <w:t>y</w:t>
      </w:r>
      <w:r>
        <w:rPr>
          <w:rFonts w:ascii="Arial" w:hAnsi="Arial" w:cs="Arial"/>
          <w:b/>
          <w:bCs/>
          <w:kern w:val="0"/>
          <w:sz w:val="24"/>
        </w:rPr>
        <w:t xml:space="preserve"> </w:t>
      </w:r>
      <w:r>
        <w:rPr>
          <w:rFonts w:hint="eastAsia" w:ascii="Arial" w:hAnsi="Arial" w:cs="Arial"/>
          <w:b/>
          <w:bCs/>
          <w:kern w:val="0"/>
          <w:sz w:val="24"/>
        </w:rPr>
        <w:t>2022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hint="eastAsia" w:ascii="Arial" w:hAnsi="Arial" w:cs="Arial"/>
          <w:b/>
          <w:bCs/>
          <w:snapToGrid w:val="0"/>
          <w:kern w:val="0"/>
          <w:sz w:val="24"/>
          <w:lang w:val="en-US" w:eastAsia="zh-CN"/>
        </w:rPr>
        <w:tab/>
      </w:r>
      <w:r>
        <w:rPr>
          <w:rFonts w:hint="eastAsia" w:ascii="Arial" w:hAnsi="Arial" w:cs="Arial"/>
          <w:b/>
          <w:bCs/>
          <w:snapToGrid w:val="0"/>
          <w:kern w:val="0"/>
          <w:sz w:val="24"/>
          <w:lang w:val="en-US" w:eastAsia="zh-CN"/>
        </w:rPr>
        <w:t>Further Consideration On RLM/BFD Relaxation in DC mode</w:t>
      </w:r>
      <w:r>
        <w:rPr>
          <w:rFonts w:hint="eastAsia" w:ascii="Arial" w:hAnsi="Arial" w:cs="Arial"/>
          <w:b/>
          <w:bCs/>
          <w:snapToGrid w:val="0"/>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w:t>
      </w:r>
      <w:r>
        <w:rPr>
          <w:rFonts w:ascii="Arial" w:hAnsi="Arial" w:cs="Arial"/>
          <w:b/>
          <w:bCs/>
          <w:snapToGrid w:val="0"/>
          <w:kern w:val="0"/>
          <w:sz w:val="24"/>
        </w:rPr>
        <w:t>.9.3.2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sz w:val="20"/>
          <w:lang w:val="en-US" w:eastAsia="zh-CN"/>
        </w:rPr>
      </w:pPr>
      <w:r>
        <w:rPr>
          <w:rFonts w:hint="eastAsia"/>
          <w:sz w:val="20"/>
          <w:lang w:val="en-US" w:eastAsia="zh-CN"/>
        </w:rPr>
        <w:t>In the RAN2#117emeeting, there is an agreement for the lower mobility criteria configuration in the case of the NR-DC as below:</w:t>
      </w:r>
    </w:p>
    <w:p>
      <w:pPr>
        <w:pStyle w:val="188"/>
        <w:ind w:left="0" w:leftChars="0" w:firstLine="0" w:firstLineChars="0"/>
        <w:rPr>
          <w:rFonts w:eastAsia="等线"/>
          <w:lang w:eastAsia="zh-CN"/>
        </w:rPr>
      </w:pPr>
      <w:r>
        <w:rPr>
          <w:rFonts w:hint="eastAsia"/>
          <w:lang w:val="en-US" w:eastAsia="zh-CN"/>
        </w:rPr>
        <w:t xml:space="preserve">=&gt; </w:t>
      </w:r>
      <w:r>
        <w:rPr>
          <w:lang w:eastAsia="zh-CN"/>
        </w:rPr>
        <w:t xml:space="preserve">Low mobility criterion is configured in </w:t>
      </w:r>
      <w:r>
        <w:rPr>
          <w:highlight w:val="yellow"/>
          <w:lang w:eastAsia="zh-CN"/>
        </w:rPr>
        <w:t xml:space="preserve">NR Pcell </w:t>
      </w:r>
      <w:r>
        <w:rPr>
          <w:lang w:eastAsia="zh-CN"/>
        </w:rPr>
        <w:t>for the case of NR SA/ NR CA/ NE-DC/</w:t>
      </w:r>
      <w:r>
        <w:rPr>
          <w:highlight w:val="yellow"/>
          <w:lang w:eastAsia="zh-CN"/>
        </w:rPr>
        <w:t>NR-DC</w:t>
      </w:r>
      <w:r>
        <w:rPr>
          <w:lang w:eastAsia="zh-CN"/>
        </w:rPr>
        <w:t>, and in the NR PSCell for the case of EN-D</w:t>
      </w:r>
      <w:bookmarkStart w:id="3" w:name="_GoBack"/>
      <w:bookmarkEnd w:id="3"/>
      <w:r>
        <w:rPr>
          <w:lang w:eastAsia="zh-CN"/>
        </w:rPr>
        <w:t>C.</w:t>
      </w:r>
    </w:p>
    <w:p>
      <w:pPr>
        <w:rPr>
          <w:rFonts w:hint="default"/>
          <w:sz w:val="20"/>
          <w:lang w:val="en-US" w:eastAsia="zh-CN"/>
        </w:rPr>
      </w:pPr>
      <w:r>
        <w:rPr>
          <w:rFonts w:hint="eastAsia"/>
          <w:sz w:val="20"/>
          <w:lang w:val="en-US" w:eastAsia="zh-CN"/>
        </w:rPr>
        <w:t xml:space="preserve">It is naturally reasonable for a UE to determine its mobility status only upon measurement on PCell in DC case. However, it is assumed that the RLM/BFD relaxation is enabled independently on MCG and SCG according to the current spec. The SCG configuration for criterion of RLM/BFD relaxation will face the challenge under such agreement.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2" w:name="_Toc12718547"/>
    </w:p>
    <w:p>
      <w:pPr>
        <w:rPr>
          <w:rFonts w:hint="eastAsia"/>
          <w:b/>
          <w:bCs/>
          <w:u w:val="single"/>
          <w:lang w:val="en-US" w:eastAsia="zh-CN"/>
        </w:rPr>
      </w:pPr>
      <w:r>
        <w:rPr>
          <w:rFonts w:hint="eastAsia"/>
          <w:b/>
          <w:bCs/>
          <w:u w:val="single"/>
          <w:lang w:val="en-US" w:eastAsia="zh-CN"/>
        </w:rPr>
        <w:t>Scenario</w:t>
      </w:r>
    </w:p>
    <w:p>
      <w:pPr>
        <w:rPr>
          <w:rFonts w:hint="eastAsia"/>
          <w:sz w:val="20"/>
          <w:lang w:val="en-US" w:eastAsia="zh-CN"/>
        </w:rPr>
      </w:pPr>
      <w:r>
        <w:rPr>
          <w:rFonts w:hint="eastAsia"/>
          <w:sz w:val="20"/>
          <w:lang w:val="en-US" w:eastAsia="zh-CN"/>
        </w:rPr>
        <w:t xml:space="preserve">Consider the </w:t>
      </w:r>
      <w:r>
        <w:rPr>
          <w:rFonts w:hint="eastAsia"/>
          <w:i/>
          <w:iCs/>
          <w:sz w:val="20"/>
          <w:lang w:val="en-US" w:eastAsia="zh-CN"/>
        </w:rPr>
        <w:t>CellGroupConfig</w:t>
      </w:r>
      <w:r>
        <w:rPr>
          <w:rFonts w:hint="eastAsia"/>
          <w:sz w:val="20"/>
          <w:lang w:val="en-US" w:eastAsia="zh-CN"/>
        </w:rPr>
        <w:t xml:space="preserve"> of MCG and SCG is generated by the DUs for SN and MN respectively, so that there is no any interaction between SN and MN for the configuration of the lower mobility configuration. As a result , SN cannot know whether the lower mobility criteria is present in MCG when deciding to configure the RLM/BFD relaxation to a UE. </w:t>
      </w:r>
    </w:p>
    <w:p>
      <w:pPr>
        <w:rPr>
          <w:rFonts w:hint="default"/>
          <w:b/>
          <w:bCs/>
          <w:sz w:val="20"/>
          <w:lang w:val="en-US" w:eastAsia="zh-CN"/>
        </w:rPr>
      </w:pPr>
      <w:r>
        <w:rPr>
          <w:rFonts w:hint="eastAsia"/>
          <w:b/>
          <w:bCs/>
          <w:sz w:val="20"/>
          <w:lang w:val="en-US" w:eastAsia="zh-CN"/>
        </w:rPr>
        <w:t>Observation 1: In the case of RLM/BFD relaxation on SCG in NR-DC, SN cannot configure the lower mobility as a condition for RLM/BFD relaxation and also cannot obtain any information about the lower mobility criterion configured in MCG because the lack of interaction between SN and MN for RLM/BFD relaxation.</w:t>
      </w:r>
    </w:p>
    <w:p>
      <w:pPr>
        <w:rPr>
          <w:rFonts w:hint="default"/>
          <w:b w:val="0"/>
          <w:bCs w:val="0"/>
          <w:sz w:val="20"/>
          <w:u w:val="none"/>
          <w:lang w:val="en-US" w:eastAsia="zh-CN"/>
        </w:rPr>
      </w:pPr>
      <w:r>
        <w:rPr>
          <w:rFonts w:hint="eastAsia"/>
          <w:b w:val="0"/>
          <w:bCs w:val="0"/>
          <w:sz w:val="20"/>
          <w:u w:val="none"/>
          <w:lang w:val="en-US" w:eastAsia="zh-CN"/>
        </w:rPr>
        <w:t>With observation 1, SN would hardly configure the RLM/BFD relaxation to a non-stationary UE for the safety.</w:t>
      </w:r>
    </w:p>
    <w:p>
      <w:pPr>
        <w:rPr>
          <w:rFonts w:hint="eastAsia"/>
          <w:b/>
          <w:bCs/>
          <w:sz w:val="20"/>
          <w:u w:val="single"/>
          <w:lang w:val="en-US" w:eastAsia="zh-CN"/>
        </w:rPr>
      </w:pPr>
      <w:r>
        <w:rPr>
          <w:rFonts w:hint="eastAsia"/>
          <w:b/>
          <w:bCs/>
          <w:sz w:val="20"/>
          <w:u w:val="single"/>
          <w:lang w:val="en-US" w:eastAsia="zh-CN"/>
        </w:rPr>
        <w:t>Solution</w:t>
      </w:r>
    </w:p>
    <w:p>
      <w:pPr>
        <w:rPr>
          <w:rFonts w:hint="eastAsia"/>
          <w:b w:val="0"/>
          <w:bCs w:val="0"/>
          <w:i w:val="0"/>
          <w:iCs w:val="0"/>
          <w:sz w:val="20"/>
          <w:u w:val="none"/>
          <w:lang w:val="en-US" w:eastAsia="zh-CN"/>
        </w:rPr>
      </w:pPr>
      <w:r>
        <w:rPr>
          <w:rFonts w:hint="eastAsia"/>
          <w:b w:val="0"/>
          <w:bCs w:val="0"/>
          <w:i w:val="0"/>
          <w:iCs w:val="0"/>
          <w:sz w:val="20"/>
          <w:u w:val="none"/>
          <w:lang w:val="en-US" w:eastAsia="zh-CN"/>
        </w:rPr>
        <w:t>In such scenario mentioned above, we have several solutions based on the different power levels for SN to control the lower mobility criteria for relaxation:</w:t>
      </w:r>
    </w:p>
    <w:p>
      <w:pPr>
        <w:numPr>
          <w:ilvl w:val="0"/>
          <w:numId w:val="4"/>
        </w:numPr>
        <w:ind w:left="425" w:leftChars="0" w:hanging="425" w:firstLineChars="0"/>
        <w:rPr>
          <w:rFonts w:hint="eastAsia"/>
          <w:b w:val="0"/>
          <w:bCs w:val="0"/>
          <w:i w:val="0"/>
          <w:iCs w:val="0"/>
          <w:sz w:val="20"/>
          <w:u w:val="none"/>
          <w:lang w:val="en-US" w:eastAsia="zh-CN"/>
        </w:rPr>
      </w:pPr>
      <w:r>
        <w:rPr>
          <w:rFonts w:hint="eastAsia"/>
          <w:b w:val="0"/>
          <w:bCs w:val="0"/>
          <w:i w:val="0"/>
          <w:iCs w:val="0"/>
          <w:sz w:val="20"/>
          <w:u w:val="none"/>
          <w:lang w:val="en-US" w:eastAsia="zh-CN"/>
        </w:rPr>
        <w:t>Do nothing, SN enable the RLM/BFD relaxation regardless of the presence of the lower mobility configure by MN</w:t>
      </w:r>
    </w:p>
    <w:p>
      <w:pPr>
        <w:numPr>
          <w:ilvl w:val="0"/>
          <w:numId w:val="4"/>
        </w:numPr>
        <w:ind w:left="425" w:leftChars="0" w:hanging="425" w:firstLineChars="0"/>
        <w:rPr>
          <w:rFonts w:hint="eastAsia"/>
          <w:b w:val="0"/>
          <w:bCs w:val="0"/>
          <w:i w:val="0"/>
          <w:iCs w:val="0"/>
          <w:sz w:val="20"/>
          <w:u w:val="none"/>
          <w:lang w:val="en-US" w:eastAsia="zh-CN"/>
        </w:rPr>
      </w:pPr>
      <w:r>
        <w:rPr>
          <w:rFonts w:hint="eastAsia"/>
          <w:b w:val="0"/>
          <w:bCs w:val="0"/>
          <w:i w:val="0"/>
          <w:iCs w:val="0"/>
          <w:sz w:val="20"/>
          <w:u w:val="none"/>
          <w:lang w:val="en-US" w:eastAsia="zh-CN"/>
        </w:rPr>
        <w:t xml:space="preserve">Add a flag such as </w:t>
      </w:r>
      <w:r>
        <w:rPr>
          <w:rFonts w:hint="eastAsia"/>
          <w:b w:val="0"/>
          <w:bCs w:val="0"/>
          <w:i/>
          <w:iCs/>
          <w:sz w:val="20"/>
          <w:u w:val="none"/>
          <w:lang w:val="en-US" w:eastAsia="zh-CN"/>
        </w:rPr>
        <w:t xml:space="preserve">EnabledlowerMobilityForBFDRLMrelaxation </w:t>
      </w:r>
      <w:r>
        <w:rPr>
          <w:rFonts w:hint="eastAsia"/>
          <w:b w:val="0"/>
          <w:bCs w:val="0"/>
          <w:i w:val="0"/>
          <w:iCs w:val="0"/>
          <w:sz w:val="20"/>
          <w:u w:val="none"/>
          <w:lang w:val="en-US" w:eastAsia="zh-CN"/>
        </w:rPr>
        <w:t>in the CG-ConfigInfo to help SCG to determine whether to set the SCG configuration for RLM/BFD relaxation.</w:t>
      </w:r>
    </w:p>
    <w:p>
      <w:pPr>
        <w:numPr>
          <w:ilvl w:val="0"/>
          <w:numId w:val="4"/>
        </w:numPr>
        <w:ind w:left="425" w:leftChars="0" w:hanging="425" w:firstLineChars="0"/>
        <w:rPr>
          <w:rFonts w:hint="eastAsia"/>
          <w:b w:val="0"/>
          <w:bCs w:val="0"/>
          <w:i w:val="0"/>
          <w:iCs w:val="0"/>
          <w:sz w:val="20"/>
          <w:u w:val="none"/>
          <w:lang w:val="en-US" w:eastAsia="zh-CN"/>
        </w:rPr>
      </w:pPr>
      <w:r>
        <w:rPr>
          <w:rFonts w:hint="eastAsia"/>
          <w:b w:val="0"/>
          <w:bCs w:val="0"/>
          <w:i w:val="0"/>
          <w:iCs w:val="0"/>
          <w:sz w:val="20"/>
          <w:u w:val="none"/>
          <w:lang w:val="en-US" w:eastAsia="zh-CN"/>
        </w:rPr>
        <w:t>To introduce the full interaction between two DUs of MN and SN to determine whether and how to set the lower mobility condition in MCG for RLM/BFD relaxation on SCG</w:t>
      </w:r>
    </w:p>
    <w:p>
      <w:pPr>
        <w:numPr>
          <w:ilvl w:val="0"/>
          <w:numId w:val="0"/>
        </w:numPr>
        <w:ind w:leftChars="0"/>
        <w:rPr>
          <w:rFonts w:hint="eastAsia"/>
          <w:b w:val="0"/>
          <w:bCs w:val="0"/>
          <w:i w:val="0"/>
          <w:iCs w:val="0"/>
          <w:sz w:val="20"/>
          <w:u w:val="none"/>
          <w:lang w:val="en-US" w:eastAsia="zh-CN"/>
        </w:rPr>
      </w:pPr>
      <w:r>
        <w:rPr>
          <w:rFonts w:hint="eastAsia"/>
          <w:b w:val="0"/>
          <w:bCs w:val="0"/>
          <w:i w:val="0"/>
          <w:iCs w:val="0"/>
          <w:sz w:val="20"/>
          <w:u w:val="none"/>
          <w:lang w:val="en-US" w:eastAsia="zh-CN"/>
        </w:rPr>
        <w:t xml:space="preserve">The third alternative will cause a considerable impact on RAN3, and at such stage where the WI is claimed as 100%, we think it shall be excluded firstly, and we can have a further discuss in TEI 18, if needed. </w:t>
      </w:r>
    </w:p>
    <w:p>
      <w:pPr>
        <w:numPr>
          <w:ilvl w:val="0"/>
          <w:numId w:val="0"/>
        </w:numPr>
        <w:ind w:leftChars="0"/>
        <w:rPr>
          <w:rFonts w:hint="default"/>
          <w:b w:val="0"/>
          <w:bCs w:val="0"/>
          <w:i w:val="0"/>
          <w:iCs w:val="0"/>
          <w:sz w:val="20"/>
          <w:u w:val="none"/>
          <w:lang w:val="en-US" w:eastAsia="zh-CN"/>
        </w:rPr>
      </w:pPr>
      <w:r>
        <w:rPr>
          <w:rFonts w:hint="eastAsia"/>
          <w:b w:val="0"/>
          <w:bCs w:val="0"/>
          <w:i w:val="0"/>
          <w:iCs w:val="0"/>
          <w:sz w:val="20"/>
          <w:u w:val="none"/>
          <w:lang w:val="en-US" w:eastAsia="zh-CN"/>
        </w:rPr>
        <w:t>Considering between the first and the second alternative, the second alternative is just a small enhancement to the alternative 1 (i.e do nothing), and it is good for SN to be aware of the situation of the presence of lower mobility condition to determine whether to set the relaxation for a UE if it is not stationary UE. From NW perspective, we slightly prefer the alternative 2.</w:t>
      </w:r>
    </w:p>
    <w:p>
      <w:pPr>
        <w:numPr>
          <w:ilvl w:val="0"/>
          <w:numId w:val="0"/>
        </w:numPr>
        <w:ind w:leftChars="0"/>
        <w:rPr>
          <w:rFonts w:hint="default"/>
          <w:b w:val="0"/>
          <w:bCs w:val="0"/>
          <w:i w:val="0"/>
          <w:iCs w:val="0"/>
          <w:sz w:val="20"/>
          <w:u w:val="none"/>
          <w:lang w:val="en-US" w:eastAsia="zh-CN"/>
        </w:rPr>
      </w:pPr>
      <w:r>
        <w:rPr>
          <w:rFonts w:hint="eastAsia"/>
          <w:b/>
          <w:bCs/>
          <w:i w:val="0"/>
          <w:iCs w:val="0"/>
          <w:sz w:val="20"/>
          <w:u w:val="none"/>
          <w:lang w:val="en-US" w:eastAsia="zh-CN"/>
        </w:rPr>
        <w:t xml:space="preserve">Proposal 1:Add a flag such as </w:t>
      </w:r>
      <w:r>
        <w:rPr>
          <w:rFonts w:hint="eastAsia"/>
          <w:b/>
          <w:bCs/>
          <w:i/>
          <w:iCs/>
          <w:sz w:val="20"/>
          <w:u w:val="none"/>
          <w:lang w:val="en-US" w:eastAsia="zh-CN"/>
        </w:rPr>
        <w:t xml:space="preserve">EnabledlowerMobilityForRLMBFDRelaxation </w:t>
      </w:r>
      <w:r>
        <w:rPr>
          <w:rFonts w:hint="eastAsia"/>
          <w:b/>
          <w:bCs/>
          <w:i w:val="0"/>
          <w:iCs w:val="0"/>
          <w:sz w:val="20"/>
          <w:u w:val="none"/>
          <w:lang w:val="en-US" w:eastAsia="zh-CN"/>
        </w:rPr>
        <w:t xml:space="preserve">with value </w:t>
      </w:r>
      <w:r>
        <w:rPr>
          <w:rFonts w:hint="eastAsia"/>
          <w:b/>
          <w:bCs/>
          <w:i/>
          <w:iCs/>
          <w:sz w:val="20"/>
          <w:u w:val="none"/>
          <w:lang w:val="en-US" w:eastAsia="zh-CN"/>
        </w:rPr>
        <w:t>enabled</w:t>
      </w:r>
      <w:r>
        <w:rPr>
          <w:rFonts w:hint="eastAsia"/>
          <w:b/>
          <w:bCs/>
          <w:i w:val="0"/>
          <w:iCs w:val="0"/>
          <w:sz w:val="20"/>
          <w:u w:val="none"/>
          <w:lang w:val="en-US" w:eastAsia="zh-CN"/>
        </w:rPr>
        <w:t xml:space="preserve"> in the CG-ConfigInfo to help SCG to determine whether to configured the RLM/BFD relaxation to a UE.</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rFonts w:hint="default"/>
          <w:b/>
          <w:bCs/>
          <w:sz w:val="20"/>
          <w:lang w:val="en-US" w:eastAsia="zh-CN"/>
        </w:rPr>
      </w:pPr>
      <w:r>
        <w:rPr>
          <w:rFonts w:hint="eastAsia"/>
          <w:b/>
          <w:bCs/>
          <w:sz w:val="20"/>
          <w:lang w:val="en-US" w:eastAsia="zh-CN"/>
        </w:rPr>
        <w:t xml:space="preserve">Observation 1: In the case of RLM/BFD relaxation on SCG in NR-DC, SN cannot configure the lower mobility as a condition for RLM/BFD relaxation without any interaction between MN and SN.  </w:t>
      </w:r>
    </w:p>
    <w:p>
      <w:pPr>
        <w:numPr>
          <w:ilvl w:val="0"/>
          <w:numId w:val="0"/>
        </w:numPr>
        <w:ind w:leftChars="0"/>
        <w:rPr>
          <w:rFonts w:hint="default"/>
          <w:b w:val="0"/>
          <w:bCs w:val="0"/>
          <w:i w:val="0"/>
          <w:iCs w:val="0"/>
          <w:sz w:val="20"/>
          <w:u w:val="none"/>
          <w:lang w:val="en-US" w:eastAsia="zh-CN"/>
        </w:rPr>
      </w:pPr>
      <w:r>
        <w:rPr>
          <w:rFonts w:hint="eastAsia"/>
          <w:b/>
          <w:bCs/>
          <w:i w:val="0"/>
          <w:iCs w:val="0"/>
          <w:sz w:val="20"/>
          <w:u w:val="none"/>
          <w:lang w:val="en-US" w:eastAsia="zh-CN"/>
        </w:rPr>
        <w:t xml:space="preserve">Proposal 1:Add a flag such as </w:t>
      </w:r>
      <w:r>
        <w:rPr>
          <w:rFonts w:hint="eastAsia"/>
          <w:b/>
          <w:bCs/>
          <w:i/>
          <w:iCs/>
          <w:sz w:val="20"/>
          <w:u w:val="none"/>
          <w:lang w:val="en-US" w:eastAsia="zh-CN"/>
        </w:rPr>
        <w:t xml:space="preserve">EnabledlowerMobilityForRLMBFDRelaxation </w:t>
      </w:r>
      <w:r>
        <w:rPr>
          <w:rFonts w:hint="eastAsia"/>
          <w:b/>
          <w:bCs/>
          <w:i w:val="0"/>
          <w:iCs w:val="0"/>
          <w:sz w:val="20"/>
          <w:u w:val="none"/>
          <w:lang w:val="en-US" w:eastAsia="zh-CN"/>
        </w:rPr>
        <w:t xml:space="preserve">with value </w:t>
      </w:r>
      <w:r>
        <w:rPr>
          <w:rFonts w:hint="eastAsia"/>
          <w:b/>
          <w:bCs/>
          <w:i/>
          <w:iCs/>
          <w:sz w:val="20"/>
          <w:u w:val="none"/>
          <w:lang w:val="en-US" w:eastAsia="zh-CN"/>
        </w:rPr>
        <w:t>enabled</w:t>
      </w:r>
      <w:r>
        <w:rPr>
          <w:rFonts w:hint="eastAsia"/>
          <w:b/>
          <w:bCs/>
          <w:i w:val="0"/>
          <w:iCs w:val="0"/>
          <w:sz w:val="20"/>
          <w:u w:val="none"/>
          <w:lang w:val="en-US" w:eastAsia="zh-CN"/>
        </w:rPr>
        <w:t xml:space="preserve"> in the CG-ConfigInfo to help SCG to determine whether to configured the RLM/BFD relaxation to a 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5"/>
        </w:numPr>
        <w:tabs>
          <w:tab w:val="left" w:pos="312"/>
        </w:tabs>
        <w:spacing w:line="260" w:lineRule="auto"/>
        <w:ind w:firstLine="0" w:firstLineChars="0"/>
        <w:jc w:val="left"/>
        <w:rPr>
          <w:rFonts w:hint="default"/>
          <w:sz w:val="20"/>
          <w:szCs w:val="20"/>
          <w:lang w:val="en-US" w:eastAsia="zh-CN"/>
        </w:rPr>
      </w:pPr>
      <w:r>
        <w:rPr>
          <w:rFonts w:hint="eastAsia"/>
          <w:sz w:val="20"/>
          <w:szCs w:val="20"/>
          <w:lang w:val="en-US" w:eastAsia="zh-CN"/>
        </w:rPr>
        <w:t>38.331-h00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5C9D78"/>
    <w:multiLevelType w:val="singleLevel"/>
    <w:tmpl w:val="A55C9D78"/>
    <w:lvl w:ilvl="0" w:tentative="0">
      <w:start w:val="1"/>
      <w:numFmt w:val="decimal"/>
      <w:suff w:val="space"/>
      <w:lvlText w:val="[%1]"/>
      <w:lvlJc w:val="left"/>
    </w:lvl>
  </w:abstractNum>
  <w:abstractNum w:abstractNumId="1">
    <w:nsid w:val="E8ADC882"/>
    <w:multiLevelType w:val="singleLevel"/>
    <w:tmpl w:val="E8ADC882"/>
    <w:lvl w:ilvl="0" w:tentative="0">
      <w:start w:val="1"/>
      <w:numFmt w:val="decimal"/>
      <w:lvlText w:val="%1."/>
      <w:lvlJc w:val="left"/>
      <w:pPr>
        <w:ind w:left="425" w:hanging="425"/>
      </w:pPr>
      <w:rPr>
        <w:rFonts w:hint="default"/>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151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2F1"/>
    <w:rsid w:val="00043923"/>
    <w:rsid w:val="00043FCA"/>
    <w:rsid w:val="00045EDE"/>
    <w:rsid w:val="00046E3D"/>
    <w:rsid w:val="000554CA"/>
    <w:rsid w:val="000563ED"/>
    <w:rsid w:val="00057D0E"/>
    <w:rsid w:val="000603D6"/>
    <w:rsid w:val="00062984"/>
    <w:rsid w:val="00062D12"/>
    <w:rsid w:val="00065E88"/>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0A6"/>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0A"/>
    <w:rsid w:val="000E1125"/>
    <w:rsid w:val="000E1993"/>
    <w:rsid w:val="000E3B8A"/>
    <w:rsid w:val="000E65BC"/>
    <w:rsid w:val="000F0A7B"/>
    <w:rsid w:val="000F4CFF"/>
    <w:rsid w:val="000F75F3"/>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BAB"/>
    <w:rsid w:val="00156452"/>
    <w:rsid w:val="00160A40"/>
    <w:rsid w:val="001627D9"/>
    <w:rsid w:val="00166209"/>
    <w:rsid w:val="00170C6A"/>
    <w:rsid w:val="00171FF9"/>
    <w:rsid w:val="0017245C"/>
    <w:rsid w:val="00172A27"/>
    <w:rsid w:val="00175874"/>
    <w:rsid w:val="00175C7C"/>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6278"/>
    <w:rsid w:val="00201FFE"/>
    <w:rsid w:val="00202C4B"/>
    <w:rsid w:val="002035B4"/>
    <w:rsid w:val="00203774"/>
    <w:rsid w:val="00203B88"/>
    <w:rsid w:val="00205321"/>
    <w:rsid w:val="00206123"/>
    <w:rsid w:val="00206380"/>
    <w:rsid w:val="002155FA"/>
    <w:rsid w:val="002176DE"/>
    <w:rsid w:val="00220834"/>
    <w:rsid w:val="00223B64"/>
    <w:rsid w:val="0023029F"/>
    <w:rsid w:val="00231281"/>
    <w:rsid w:val="00231D10"/>
    <w:rsid w:val="00231DC2"/>
    <w:rsid w:val="00232A02"/>
    <w:rsid w:val="002333B7"/>
    <w:rsid w:val="002338F8"/>
    <w:rsid w:val="002339C1"/>
    <w:rsid w:val="002344F2"/>
    <w:rsid w:val="002368E4"/>
    <w:rsid w:val="00236F8F"/>
    <w:rsid w:val="00241832"/>
    <w:rsid w:val="00242E0D"/>
    <w:rsid w:val="00244D42"/>
    <w:rsid w:val="00245149"/>
    <w:rsid w:val="00245719"/>
    <w:rsid w:val="00246FFA"/>
    <w:rsid w:val="00247076"/>
    <w:rsid w:val="00247190"/>
    <w:rsid w:val="00247B81"/>
    <w:rsid w:val="00252B94"/>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302D"/>
    <w:rsid w:val="002A43A8"/>
    <w:rsid w:val="002A4821"/>
    <w:rsid w:val="002A66AB"/>
    <w:rsid w:val="002B24A3"/>
    <w:rsid w:val="002B2BBC"/>
    <w:rsid w:val="002B351B"/>
    <w:rsid w:val="002B3C48"/>
    <w:rsid w:val="002B434C"/>
    <w:rsid w:val="002B4F1D"/>
    <w:rsid w:val="002B75E7"/>
    <w:rsid w:val="002C0864"/>
    <w:rsid w:val="002C0F12"/>
    <w:rsid w:val="002C3740"/>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2BED"/>
    <w:rsid w:val="00413229"/>
    <w:rsid w:val="00413D6F"/>
    <w:rsid w:val="00414C56"/>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0A2"/>
    <w:rsid w:val="00471CB7"/>
    <w:rsid w:val="0047305C"/>
    <w:rsid w:val="0047403A"/>
    <w:rsid w:val="00474161"/>
    <w:rsid w:val="00474C36"/>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247"/>
    <w:rsid w:val="00495239"/>
    <w:rsid w:val="004966BC"/>
    <w:rsid w:val="00497BD9"/>
    <w:rsid w:val="00497BFB"/>
    <w:rsid w:val="004A0053"/>
    <w:rsid w:val="004A2687"/>
    <w:rsid w:val="004A32AB"/>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222E"/>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3D43"/>
    <w:rsid w:val="00585E04"/>
    <w:rsid w:val="005910DD"/>
    <w:rsid w:val="00591803"/>
    <w:rsid w:val="00592AD4"/>
    <w:rsid w:val="00592E35"/>
    <w:rsid w:val="005940C1"/>
    <w:rsid w:val="0059566C"/>
    <w:rsid w:val="0059585E"/>
    <w:rsid w:val="00595E2D"/>
    <w:rsid w:val="00595EDC"/>
    <w:rsid w:val="00596A30"/>
    <w:rsid w:val="00597FF8"/>
    <w:rsid w:val="005A3156"/>
    <w:rsid w:val="005A4A67"/>
    <w:rsid w:val="005A53DF"/>
    <w:rsid w:val="005A6185"/>
    <w:rsid w:val="005A6F7D"/>
    <w:rsid w:val="005B052E"/>
    <w:rsid w:val="005B220B"/>
    <w:rsid w:val="005B2E19"/>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918"/>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4E1F"/>
    <w:rsid w:val="00685237"/>
    <w:rsid w:val="00685541"/>
    <w:rsid w:val="00687194"/>
    <w:rsid w:val="00687500"/>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57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1CB4"/>
    <w:rsid w:val="008F2453"/>
    <w:rsid w:val="008F34E9"/>
    <w:rsid w:val="009009E9"/>
    <w:rsid w:val="00902833"/>
    <w:rsid w:val="009039E2"/>
    <w:rsid w:val="0091196A"/>
    <w:rsid w:val="00911DC9"/>
    <w:rsid w:val="009123FF"/>
    <w:rsid w:val="009164CD"/>
    <w:rsid w:val="00916C40"/>
    <w:rsid w:val="00917271"/>
    <w:rsid w:val="0091740C"/>
    <w:rsid w:val="00922A9F"/>
    <w:rsid w:val="009233DD"/>
    <w:rsid w:val="009233F9"/>
    <w:rsid w:val="0092343B"/>
    <w:rsid w:val="00925478"/>
    <w:rsid w:val="00925A8F"/>
    <w:rsid w:val="00925D8E"/>
    <w:rsid w:val="009269F5"/>
    <w:rsid w:val="009277E2"/>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188"/>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063C"/>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40DC"/>
    <w:rsid w:val="00BA4AB8"/>
    <w:rsid w:val="00BA6A67"/>
    <w:rsid w:val="00BB156E"/>
    <w:rsid w:val="00BB3AB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680"/>
    <w:rsid w:val="00BE6936"/>
    <w:rsid w:val="00BE6C9C"/>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64FC"/>
    <w:rsid w:val="00C11654"/>
    <w:rsid w:val="00C1166F"/>
    <w:rsid w:val="00C11D21"/>
    <w:rsid w:val="00C11EFC"/>
    <w:rsid w:val="00C1675F"/>
    <w:rsid w:val="00C172FB"/>
    <w:rsid w:val="00C21F2D"/>
    <w:rsid w:val="00C22A96"/>
    <w:rsid w:val="00C23439"/>
    <w:rsid w:val="00C27213"/>
    <w:rsid w:val="00C278C2"/>
    <w:rsid w:val="00C32425"/>
    <w:rsid w:val="00C32A0A"/>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5048"/>
    <w:rsid w:val="00CC10DA"/>
    <w:rsid w:val="00CC156D"/>
    <w:rsid w:val="00CC58C3"/>
    <w:rsid w:val="00CC58E1"/>
    <w:rsid w:val="00CD229F"/>
    <w:rsid w:val="00CD4B35"/>
    <w:rsid w:val="00CD7A3C"/>
    <w:rsid w:val="00CE2D1F"/>
    <w:rsid w:val="00CE3B00"/>
    <w:rsid w:val="00CE52F0"/>
    <w:rsid w:val="00CE6624"/>
    <w:rsid w:val="00CF18A3"/>
    <w:rsid w:val="00CF356A"/>
    <w:rsid w:val="00CF494F"/>
    <w:rsid w:val="00CF4A61"/>
    <w:rsid w:val="00CF5A83"/>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596F"/>
    <w:rsid w:val="00D56F3F"/>
    <w:rsid w:val="00D610EE"/>
    <w:rsid w:val="00D61F13"/>
    <w:rsid w:val="00D667F7"/>
    <w:rsid w:val="00D672D6"/>
    <w:rsid w:val="00D679CF"/>
    <w:rsid w:val="00D67D4A"/>
    <w:rsid w:val="00D70B9D"/>
    <w:rsid w:val="00D71FF5"/>
    <w:rsid w:val="00D72B46"/>
    <w:rsid w:val="00D73122"/>
    <w:rsid w:val="00D75D2E"/>
    <w:rsid w:val="00D76206"/>
    <w:rsid w:val="00D77EEA"/>
    <w:rsid w:val="00D806A3"/>
    <w:rsid w:val="00D81BAC"/>
    <w:rsid w:val="00D82710"/>
    <w:rsid w:val="00D83149"/>
    <w:rsid w:val="00D83173"/>
    <w:rsid w:val="00D8380A"/>
    <w:rsid w:val="00D84ABB"/>
    <w:rsid w:val="00D85273"/>
    <w:rsid w:val="00D8560A"/>
    <w:rsid w:val="00D86AD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1B4A"/>
    <w:rsid w:val="00DE2CFF"/>
    <w:rsid w:val="00DE3330"/>
    <w:rsid w:val="00DE5939"/>
    <w:rsid w:val="00DE7C83"/>
    <w:rsid w:val="00DF0868"/>
    <w:rsid w:val="00DF4CBC"/>
    <w:rsid w:val="00DF5370"/>
    <w:rsid w:val="00DF755B"/>
    <w:rsid w:val="00E0032E"/>
    <w:rsid w:val="00E0082E"/>
    <w:rsid w:val="00E0205D"/>
    <w:rsid w:val="00E03BE1"/>
    <w:rsid w:val="00E048C6"/>
    <w:rsid w:val="00E0737F"/>
    <w:rsid w:val="00E1018A"/>
    <w:rsid w:val="00E120F4"/>
    <w:rsid w:val="00E12A4C"/>
    <w:rsid w:val="00E153F6"/>
    <w:rsid w:val="00E15B7E"/>
    <w:rsid w:val="00E15F7E"/>
    <w:rsid w:val="00E17377"/>
    <w:rsid w:val="00E173DF"/>
    <w:rsid w:val="00E24866"/>
    <w:rsid w:val="00E2780E"/>
    <w:rsid w:val="00E27FC2"/>
    <w:rsid w:val="00E31912"/>
    <w:rsid w:val="00E31B60"/>
    <w:rsid w:val="00E31D33"/>
    <w:rsid w:val="00E34035"/>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230C"/>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28CB"/>
    <w:rsid w:val="00EE5769"/>
    <w:rsid w:val="00EE5CA6"/>
    <w:rsid w:val="00EE6916"/>
    <w:rsid w:val="00EF1335"/>
    <w:rsid w:val="00EF1557"/>
    <w:rsid w:val="00EF4AE0"/>
    <w:rsid w:val="00EF4FE8"/>
    <w:rsid w:val="00EF6FA1"/>
    <w:rsid w:val="00F012FF"/>
    <w:rsid w:val="00F01A21"/>
    <w:rsid w:val="00F046E9"/>
    <w:rsid w:val="00F04831"/>
    <w:rsid w:val="00F05AED"/>
    <w:rsid w:val="00F0613A"/>
    <w:rsid w:val="00F12DA8"/>
    <w:rsid w:val="00F1322B"/>
    <w:rsid w:val="00F13699"/>
    <w:rsid w:val="00F16AB3"/>
    <w:rsid w:val="00F241E7"/>
    <w:rsid w:val="00F25124"/>
    <w:rsid w:val="00F25BEF"/>
    <w:rsid w:val="00F26408"/>
    <w:rsid w:val="00F270BA"/>
    <w:rsid w:val="00F308AF"/>
    <w:rsid w:val="00F32911"/>
    <w:rsid w:val="00F337F8"/>
    <w:rsid w:val="00F33B26"/>
    <w:rsid w:val="00F3464D"/>
    <w:rsid w:val="00F34704"/>
    <w:rsid w:val="00F34AA7"/>
    <w:rsid w:val="00F35208"/>
    <w:rsid w:val="00F352C8"/>
    <w:rsid w:val="00F36774"/>
    <w:rsid w:val="00F40064"/>
    <w:rsid w:val="00F405D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6A3D"/>
    <w:rsid w:val="00F66DF3"/>
    <w:rsid w:val="00F67AB2"/>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4E2449"/>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602DEC"/>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53378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BA3E3A"/>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3F35"/>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25A1D"/>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rPr>
  </w:style>
  <w:style w:type="character" w:customStyle="1" w:styleId="286">
    <w:name w:val="normaltextrun"/>
    <w:basedOn w:val="58"/>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8B77B2-44F2-4EE1-B667-EFF5D7974754}">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551</Words>
  <Characters>3146</Characters>
  <Lines>26</Lines>
  <Paragraphs>7</Paragraphs>
  <TotalTime>8</TotalTime>
  <ScaleCrop>false</ScaleCrop>
  <LinksUpToDate>false</LinksUpToDate>
  <CharactersWithSpaces>3690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2022-04-25T11:13:40Z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